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8969" w14:textId="51AE0027" w:rsidR="009C547A" w:rsidRDefault="005A735A" w:rsidP="005A735A">
      <w:pPr>
        <w:jc w:val="center"/>
        <w:rPr>
          <w:u w:val="single"/>
        </w:rPr>
      </w:pPr>
      <w:bookmarkStart w:id="0" w:name="_Hlk506987350"/>
      <w:bookmarkStart w:id="1" w:name="_GoBack"/>
      <w:bookmarkEnd w:id="1"/>
      <w:r w:rsidRPr="005A735A">
        <w:rPr>
          <w:u w:val="single"/>
        </w:rPr>
        <w:t>Financial</w:t>
      </w:r>
      <w:r w:rsidR="00590A44" w:rsidRPr="005A735A">
        <w:rPr>
          <w:u w:val="single"/>
        </w:rPr>
        <w:t xml:space="preserve"> Agreement</w:t>
      </w:r>
    </w:p>
    <w:p w14:paraId="6DCAC49E" w14:textId="5EE3A8BA" w:rsidR="00377B8A" w:rsidRPr="00377B8A" w:rsidRDefault="00377B8A" w:rsidP="005A735A">
      <w:pPr>
        <w:rPr>
          <w:b/>
          <w:u w:val="single"/>
        </w:rPr>
      </w:pPr>
      <w:r w:rsidRPr="00377B8A">
        <w:rPr>
          <w:b/>
          <w:u w:val="single"/>
        </w:rPr>
        <w:t>Tuition and Fe</w:t>
      </w:r>
      <w:r>
        <w:rPr>
          <w:b/>
          <w:u w:val="single"/>
        </w:rPr>
        <w:t>es</w:t>
      </w:r>
      <w:r w:rsidR="00477B8F">
        <w:rPr>
          <w:b/>
          <w:u w:val="single"/>
        </w:rPr>
        <w:t xml:space="preserve"> for the 201</w:t>
      </w:r>
      <w:r w:rsidR="00CF5BBC">
        <w:rPr>
          <w:b/>
          <w:u w:val="single"/>
        </w:rPr>
        <w:t>9</w:t>
      </w:r>
      <w:r w:rsidR="00477B8F">
        <w:rPr>
          <w:b/>
          <w:u w:val="single"/>
        </w:rPr>
        <w:t>/20</w:t>
      </w:r>
      <w:r w:rsidR="00CF5BBC">
        <w:rPr>
          <w:b/>
          <w:u w:val="single"/>
        </w:rPr>
        <w:t>20</w:t>
      </w:r>
      <w:r w:rsidR="00477B8F">
        <w:rPr>
          <w:b/>
          <w:u w:val="single"/>
        </w:rPr>
        <w:t xml:space="preserve"> School Year</w:t>
      </w:r>
    </w:p>
    <w:p w14:paraId="73D8C654" w14:textId="27C0A0FC" w:rsidR="005A735A" w:rsidRDefault="005A735A" w:rsidP="005A735A">
      <w:r>
        <w:t xml:space="preserve">Tuition and fees are managed by FACTS who partners with Sage School to offer convenient on-line access to establish payment plans, review charges and make payments. </w:t>
      </w:r>
      <w:r w:rsidR="00CF2ACB">
        <w:t xml:space="preserve">FACTS </w:t>
      </w:r>
      <w:r w:rsidR="005057DA">
        <w:t>requires</w:t>
      </w:r>
      <w:r w:rsidR="00CF2ACB">
        <w:t xml:space="preserve"> that a checking/saving or credit card be linked to each family account. FACTS </w:t>
      </w:r>
      <w:r w:rsidR="005057DA">
        <w:t>assess</w:t>
      </w:r>
      <w:r w:rsidR="00CF2ACB">
        <w:t xml:space="preserve"> a service fee charge for credit card payments of approximately </w:t>
      </w:r>
      <w:r w:rsidR="00855877">
        <w:t>3</w:t>
      </w:r>
      <w:r w:rsidR="00CF2ACB">
        <w:t xml:space="preserve">.75%. </w:t>
      </w:r>
    </w:p>
    <w:p w14:paraId="0B5FDB69" w14:textId="77777777" w:rsidR="005A735A" w:rsidRDefault="005A735A" w:rsidP="005A735A">
      <w:r>
        <w:tab/>
      </w:r>
    </w:p>
    <w:tbl>
      <w:tblPr>
        <w:tblStyle w:val="TableGrid"/>
        <w:tblW w:w="0" w:type="auto"/>
        <w:tblLook w:val="04A0" w:firstRow="1" w:lastRow="0" w:firstColumn="1" w:lastColumn="0" w:noHBand="0" w:noVBand="1"/>
      </w:tblPr>
      <w:tblGrid>
        <w:gridCol w:w="4675"/>
        <w:gridCol w:w="4675"/>
      </w:tblGrid>
      <w:tr w:rsidR="005A735A" w14:paraId="44AC3061" w14:textId="77777777" w:rsidTr="005A735A">
        <w:tc>
          <w:tcPr>
            <w:tcW w:w="4675" w:type="dxa"/>
          </w:tcPr>
          <w:p w14:paraId="67DCFB6D" w14:textId="1E3FAB66" w:rsidR="005A735A" w:rsidRDefault="005A735A" w:rsidP="005A735A">
            <w:r>
              <w:t>New Student enrollment fee</w:t>
            </w:r>
          </w:p>
        </w:tc>
        <w:tc>
          <w:tcPr>
            <w:tcW w:w="4675" w:type="dxa"/>
          </w:tcPr>
          <w:p w14:paraId="23A67A3D" w14:textId="55C0F386" w:rsidR="005A735A" w:rsidRDefault="005A735A" w:rsidP="005A735A">
            <w:r>
              <w:t>$750</w:t>
            </w:r>
          </w:p>
        </w:tc>
      </w:tr>
      <w:tr w:rsidR="005A735A" w14:paraId="4C3E9608" w14:textId="77777777" w:rsidTr="005A735A">
        <w:tc>
          <w:tcPr>
            <w:tcW w:w="4675" w:type="dxa"/>
          </w:tcPr>
          <w:p w14:paraId="1CC8D840" w14:textId="16A1D536" w:rsidR="005A735A" w:rsidRDefault="005A735A" w:rsidP="005A735A">
            <w:r>
              <w:t>Returning student re-enrollment fee</w:t>
            </w:r>
          </w:p>
        </w:tc>
        <w:tc>
          <w:tcPr>
            <w:tcW w:w="4675" w:type="dxa"/>
          </w:tcPr>
          <w:p w14:paraId="601CCF03" w14:textId="27015CF0" w:rsidR="005A735A" w:rsidRDefault="005A735A" w:rsidP="005A735A">
            <w:r>
              <w:t>$500</w:t>
            </w:r>
          </w:p>
        </w:tc>
      </w:tr>
      <w:tr w:rsidR="005A735A" w14:paraId="0D721711" w14:textId="77777777" w:rsidTr="005A735A">
        <w:tc>
          <w:tcPr>
            <w:tcW w:w="4675" w:type="dxa"/>
          </w:tcPr>
          <w:p w14:paraId="180E98FC" w14:textId="41A3574A" w:rsidR="005A735A" w:rsidRDefault="005A735A" w:rsidP="005A735A">
            <w:r>
              <w:t>Sibling enrollment fee</w:t>
            </w:r>
          </w:p>
        </w:tc>
        <w:tc>
          <w:tcPr>
            <w:tcW w:w="4675" w:type="dxa"/>
          </w:tcPr>
          <w:p w14:paraId="030FBA7E" w14:textId="4F334DA0" w:rsidR="005A735A" w:rsidRDefault="005A735A" w:rsidP="005A735A">
            <w:r>
              <w:t>$250</w:t>
            </w:r>
          </w:p>
        </w:tc>
      </w:tr>
      <w:tr w:rsidR="005A735A" w14:paraId="5CE0CC59" w14:textId="77777777" w:rsidTr="0044147E">
        <w:tc>
          <w:tcPr>
            <w:tcW w:w="9350" w:type="dxa"/>
            <w:gridSpan w:val="2"/>
          </w:tcPr>
          <w:p w14:paraId="28C65CBF" w14:textId="3DA45232" w:rsidR="005A735A" w:rsidRDefault="005A735A" w:rsidP="005A735A">
            <w:r>
              <w:t>Enrollment fees are nonrefundable and do not apply toward tuition.</w:t>
            </w:r>
          </w:p>
        </w:tc>
      </w:tr>
    </w:tbl>
    <w:p w14:paraId="1A46341C" w14:textId="5B3B4200" w:rsidR="005A735A" w:rsidRDefault="005A735A" w:rsidP="005A735A"/>
    <w:tbl>
      <w:tblPr>
        <w:tblStyle w:val="TableGrid"/>
        <w:tblW w:w="0" w:type="auto"/>
        <w:tblLook w:val="04A0" w:firstRow="1" w:lastRow="0" w:firstColumn="1" w:lastColumn="0" w:noHBand="0" w:noVBand="1"/>
      </w:tblPr>
      <w:tblGrid>
        <w:gridCol w:w="1682"/>
        <w:gridCol w:w="1604"/>
        <w:gridCol w:w="1700"/>
        <w:gridCol w:w="1398"/>
        <w:gridCol w:w="1568"/>
        <w:gridCol w:w="1398"/>
      </w:tblGrid>
      <w:tr w:rsidR="00CF2ACB" w14:paraId="385A61F3" w14:textId="77777777" w:rsidTr="00CF2ACB">
        <w:tc>
          <w:tcPr>
            <w:tcW w:w="1682" w:type="dxa"/>
          </w:tcPr>
          <w:p w14:paraId="337E66AC" w14:textId="047758D6" w:rsidR="00CF2ACB" w:rsidRPr="00CF2ACB" w:rsidRDefault="00CF2ACB" w:rsidP="005A735A">
            <w:pPr>
              <w:rPr>
                <w:b/>
              </w:rPr>
            </w:pPr>
            <w:r w:rsidRPr="00CF2ACB">
              <w:rPr>
                <w:b/>
              </w:rPr>
              <w:t>Tuition Payment Options</w:t>
            </w:r>
          </w:p>
        </w:tc>
        <w:tc>
          <w:tcPr>
            <w:tcW w:w="1604" w:type="dxa"/>
          </w:tcPr>
          <w:p w14:paraId="13359BBF" w14:textId="1A9C4A7B" w:rsidR="00CF2ACB" w:rsidRPr="00CF2ACB" w:rsidRDefault="00CF2ACB" w:rsidP="005A735A">
            <w:pPr>
              <w:rPr>
                <w:b/>
              </w:rPr>
            </w:pPr>
            <w:r w:rsidRPr="00CF2ACB">
              <w:rPr>
                <w:b/>
              </w:rPr>
              <w:t xml:space="preserve">Tuition </w:t>
            </w:r>
          </w:p>
        </w:tc>
        <w:tc>
          <w:tcPr>
            <w:tcW w:w="1700" w:type="dxa"/>
          </w:tcPr>
          <w:p w14:paraId="0AA497E7" w14:textId="5761321C" w:rsidR="00CF2ACB" w:rsidRPr="00CF2ACB" w:rsidRDefault="00CF2ACB" w:rsidP="005A735A">
            <w:pPr>
              <w:rPr>
                <w:b/>
              </w:rPr>
            </w:pPr>
            <w:r w:rsidRPr="00CF2ACB">
              <w:rPr>
                <w:b/>
              </w:rPr>
              <w:t>Payment Due Dates</w:t>
            </w:r>
          </w:p>
        </w:tc>
        <w:tc>
          <w:tcPr>
            <w:tcW w:w="1398" w:type="dxa"/>
          </w:tcPr>
          <w:p w14:paraId="21613A0F" w14:textId="61B0CDC8" w:rsidR="00CF2ACB" w:rsidRPr="00CF2ACB" w:rsidRDefault="00CF2ACB" w:rsidP="005A735A">
            <w:pPr>
              <w:rPr>
                <w:b/>
              </w:rPr>
            </w:pPr>
            <w:r>
              <w:rPr>
                <w:b/>
              </w:rPr>
              <w:t>Payment Amount</w:t>
            </w:r>
          </w:p>
        </w:tc>
        <w:tc>
          <w:tcPr>
            <w:tcW w:w="1568" w:type="dxa"/>
          </w:tcPr>
          <w:p w14:paraId="67641E28" w14:textId="2330C779" w:rsidR="00CF2ACB" w:rsidRPr="00CF2ACB" w:rsidRDefault="00CF2ACB" w:rsidP="005A735A">
            <w:pPr>
              <w:rPr>
                <w:b/>
              </w:rPr>
            </w:pPr>
            <w:r w:rsidRPr="00CF2ACB">
              <w:rPr>
                <w:b/>
              </w:rPr>
              <w:t xml:space="preserve">FACTS </w:t>
            </w:r>
            <w:r>
              <w:rPr>
                <w:b/>
              </w:rPr>
              <w:t>Yearly Per Family S</w:t>
            </w:r>
            <w:r w:rsidRPr="00CF2ACB">
              <w:rPr>
                <w:b/>
              </w:rPr>
              <w:t xml:space="preserve">et </w:t>
            </w:r>
            <w:r>
              <w:rPr>
                <w:b/>
              </w:rPr>
              <w:t>U</w:t>
            </w:r>
            <w:r w:rsidRPr="00CF2ACB">
              <w:rPr>
                <w:b/>
              </w:rPr>
              <w:t xml:space="preserve">p </w:t>
            </w:r>
            <w:r>
              <w:rPr>
                <w:b/>
              </w:rPr>
              <w:t>F</w:t>
            </w:r>
            <w:r w:rsidRPr="00CF2ACB">
              <w:rPr>
                <w:b/>
              </w:rPr>
              <w:t>ee</w:t>
            </w:r>
          </w:p>
        </w:tc>
        <w:tc>
          <w:tcPr>
            <w:tcW w:w="1398" w:type="dxa"/>
          </w:tcPr>
          <w:p w14:paraId="06E5C8F0" w14:textId="77777777" w:rsidR="00CF2ACB" w:rsidRDefault="00CF2ACB" w:rsidP="005A735A"/>
        </w:tc>
      </w:tr>
      <w:tr w:rsidR="00CF2ACB" w14:paraId="11F6AA90" w14:textId="77777777" w:rsidTr="00CF2ACB">
        <w:tc>
          <w:tcPr>
            <w:tcW w:w="1682" w:type="dxa"/>
          </w:tcPr>
          <w:p w14:paraId="7E6C7B0B" w14:textId="6EF4B8FB" w:rsidR="00CF2ACB" w:rsidRDefault="00CF2ACB" w:rsidP="005A735A">
            <w:r>
              <w:t>Single payment</w:t>
            </w:r>
          </w:p>
        </w:tc>
        <w:tc>
          <w:tcPr>
            <w:tcW w:w="1604" w:type="dxa"/>
          </w:tcPr>
          <w:p w14:paraId="22B9580C" w14:textId="29C4953B" w:rsidR="00CF2ACB" w:rsidRDefault="00CF2ACB" w:rsidP="005A735A">
            <w:r>
              <w:t>$2</w:t>
            </w:r>
            <w:r w:rsidR="00CF5BBC">
              <w:t>3,100</w:t>
            </w:r>
          </w:p>
        </w:tc>
        <w:tc>
          <w:tcPr>
            <w:tcW w:w="1700" w:type="dxa"/>
          </w:tcPr>
          <w:p w14:paraId="3B73925C" w14:textId="71F0961F" w:rsidR="00CF2ACB" w:rsidRDefault="00CF2ACB" w:rsidP="005A735A">
            <w:r>
              <w:t>5/10/201</w:t>
            </w:r>
            <w:r w:rsidR="00CF5BBC">
              <w:t>9</w:t>
            </w:r>
          </w:p>
        </w:tc>
        <w:tc>
          <w:tcPr>
            <w:tcW w:w="1398" w:type="dxa"/>
          </w:tcPr>
          <w:p w14:paraId="6FEB6DA1" w14:textId="7F96B157" w:rsidR="00CF2ACB" w:rsidRDefault="00CF2ACB" w:rsidP="005A735A">
            <w:r>
              <w:t>$2</w:t>
            </w:r>
            <w:r w:rsidR="00CF5BBC">
              <w:t>3,100</w:t>
            </w:r>
          </w:p>
        </w:tc>
        <w:tc>
          <w:tcPr>
            <w:tcW w:w="1568" w:type="dxa"/>
          </w:tcPr>
          <w:p w14:paraId="5BC2B0A2" w14:textId="29FD27C5" w:rsidR="00CF2ACB" w:rsidRDefault="00CF2ACB" w:rsidP="005A735A">
            <w:r>
              <w:t>$0</w:t>
            </w:r>
          </w:p>
        </w:tc>
        <w:tc>
          <w:tcPr>
            <w:tcW w:w="1398" w:type="dxa"/>
          </w:tcPr>
          <w:p w14:paraId="56FF0F31" w14:textId="77777777" w:rsidR="00CF2ACB" w:rsidRDefault="00CF2ACB" w:rsidP="005A735A"/>
        </w:tc>
      </w:tr>
      <w:tr w:rsidR="00CF2ACB" w14:paraId="0749A878" w14:textId="77777777" w:rsidTr="00CF2ACB">
        <w:tc>
          <w:tcPr>
            <w:tcW w:w="1682" w:type="dxa"/>
          </w:tcPr>
          <w:p w14:paraId="3EFA0F09" w14:textId="6405900A" w:rsidR="00CF2ACB" w:rsidRDefault="00CF2ACB" w:rsidP="005A735A">
            <w:r>
              <w:t>Two payments</w:t>
            </w:r>
          </w:p>
        </w:tc>
        <w:tc>
          <w:tcPr>
            <w:tcW w:w="1604" w:type="dxa"/>
          </w:tcPr>
          <w:p w14:paraId="1A1F9301" w14:textId="4E68028C" w:rsidR="00CF2ACB" w:rsidRDefault="00CF2ACB" w:rsidP="005A735A">
            <w:r>
              <w:t>$2</w:t>
            </w:r>
            <w:r w:rsidR="00CF5BBC">
              <w:t>3,350</w:t>
            </w:r>
          </w:p>
        </w:tc>
        <w:tc>
          <w:tcPr>
            <w:tcW w:w="1700" w:type="dxa"/>
          </w:tcPr>
          <w:p w14:paraId="485752D2" w14:textId="4B825A22" w:rsidR="00CF2ACB" w:rsidRDefault="00CF2ACB" w:rsidP="005A735A">
            <w:r>
              <w:t>5/10/201</w:t>
            </w:r>
            <w:r w:rsidR="00CF5BBC">
              <w:t>9</w:t>
            </w:r>
            <w:r>
              <w:t xml:space="preserve"> &amp; 12/10/201</w:t>
            </w:r>
            <w:r w:rsidR="00CF5BBC">
              <w:t>9</w:t>
            </w:r>
          </w:p>
        </w:tc>
        <w:tc>
          <w:tcPr>
            <w:tcW w:w="1398" w:type="dxa"/>
          </w:tcPr>
          <w:p w14:paraId="7CEC2AA9" w14:textId="4815E806" w:rsidR="00CF2ACB" w:rsidRDefault="00CF2ACB" w:rsidP="005A735A">
            <w:r>
              <w:t>$11,</w:t>
            </w:r>
            <w:r w:rsidR="00CF5BBC">
              <w:t>675</w:t>
            </w:r>
          </w:p>
        </w:tc>
        <w:tc>
          <w:tcPr>
            <w:tcW w:w="1568" w:type="dxa"/>
          </w:tcPr>
          <w:p w14:paraId="59112ABD" w14:textId="35D9BB1D" w:rsidR="00CF2ACB" w:rsidRDefault="00CF2ACB" w:rsidP="005A735A">
            <w:r>
              <w:t>$10</w:t>
            </w:r>
          </w:p>
        </w:tc>
        <w:tc>
          <w:tcPr>
            <w:tcW w:w="1398" w:type="dxa"/>
          </w:tcPr>
          <w:p w14:paraId="02A17672" w14:textId="77777777" w:rsidR="00CF2ACB" w:rsidRDefault="00CF2ACB" w:rsidP="005A735A"/>
        </w:tc>
      </w:tr>
      <w:tr w:rsidR="00CF2ACB" w14:paraId="3EA6ABFA" w14:textId="77777777" w:rsidTr="00CF2ACB">
        <w:tc>
          <w:tcPr>
            <w:tcW w:w="1682" w:type="dxa"/>
          </w:tcPr>
          <w:p w14:paraId="2FD0A7CA" w14:textId="2F0656F5" w:rsidR="00CF2ACB" w:rsidRDefault="00CF2ACB" w:rsidP="005A735A">
            <w:r>
              <w:t>Monthly payments</w:t>
            </w:r>
          </w:p>
        </w:tc>
        <w:tc>
          <w:tcPr>
            <w:tcW w:w="1604" w:type="dxa"/>
          </w:tcPr>
          <w:p w14:paraId="72C1B096" w14:textId="53D4EF31" w:rsidR="00CF2ACB" w:rsidRDefault="00CF2ACB" w:rsidP="005A735A">
            <w:r>
              <w:t>$2</w:t>
            </w:r>
            <w:r w:rsidR="00CF5BBC">
              <w:t>3,605</w:t>
            </w:r>
          </w:p>
        </w:tc>
        <w:tc>
          <w:tcPr>
            <w:tcW w:w="1700" w:type="dxa"/>
          </w:tcPr>
          <w:p w14:paraId="0BA04EA3" w14:textId="0D30BB17" w:rsidR="00CF2ACB" w:rsidRDefault="00CF2ACB" w:rsidP="005A735A">
            <w:r>
              <w:t>July 201</w:t>
            </w:r>
            <w:r w:rsidR="00CF5BBC">
              <w:t>9</w:t>
            </w:r>
            <w:r>
              <w:t>- May 20</w:t>
            </w:r>
            <w:r w:rsidR="00CF5BBC">
              <w:t>20</w:t>
            </w:r>
            <w:r>
              <w:t xml:space="preserve"> on the 10</w:t>
            </w:r>
            <w:r w:rsidRPr="005A735A">
              <w:rPr>
                <w:vertAlign w:val="superscript"/>
              </w:rPr>
              <w:t>th</w:t>
            </w:r>
            <w:r>
              <w:t xml:space="preserve"> of each month</w:t>
            </w:r>
          </w:p>
        </w:tc>
        <w:tc>
          <w:tcPr>
            <w:tcW w:w="1398" w:type="dxa"/>
          </w:tcPr>
          <w:p w14:paraId="7099EBD7" w14:textId="0D7FE2EE" w:rsidR="00CF2ACB" w:rsidRDefault="00CF2ACB" w:rsidP="005A735A">
            <w:r>
              <w:t>$</w:t>
            </w:r>
            <w:r w:rsidR="00CF5BBC">
              <w:t>2,145.91</w:t>
            </w:r>
          </w:p>
        </w:tc>
        <w:tc>
          <w:tcPr>
            <w:tcW w:w="1568" w:type="dxa"/>
          </w:tcPr>
          <w:p w14:paraId="1FF580E2" w14:textId="0B2DA184" w:rsidR="00CF2ACB" w:rsidRDefault="00CF2ACB" w:rsidP="005A735A">
            <w:r>
              <w:t>$45</w:t>
            </w:r>
          </w:p>
        </w:tc>
        <w:tc>
          <w:tcPr>
            <w:tcW w:w="1398" w:type="dxa"/>
          </w:tcPr>
          <w:p w14:paraId="285E2463" w14:textId="77777777" w:rsidR="00CF2ACB" w:rsidRDefault="00CF2ACB" w:rsidP="005A735A"/>
        </w:tc>
      </w:tr>
      <w:tr w:rsidR="00377B8A" w14:paraId="4772D63F" w14:textId="77777777" w:rsidTr="008D4C1D">
        <w:tc>
          <w:tcPr>
            <w:tcW w:w="1682" w:type="dxa"/>
          </w:tcPr>
          <w:p w14:paraId="1B2070A3" w14:textId="78AE27B0" w:rsidR="00377B8A" w:rsidRDefault="00377B8A" w:rsidP="005A735A">
            <w:proofErr w:type="spellStart"/>
            <w:r>
              <w:t>Mid year</w:t>
            </w:r>
            <w:proofErr w:type="spellEnd"/>
            <w:r>
              <w:t xml:space="preserve"> enrollment</w:t>
            </w:r>
          </w:p>
        </w:tc>
        <w:tc>
          <w:tcPr>
            <w:tcW w:w="7668" w:type="dxa"/>
            <w:gridSpan w:val="5"/>
          </w:tcPr>
          <w:p w14:paraId="4A876678" w14:textId="1301FE08" w:rsidR="00377B8A" w:rsidRDefault="00377B8A" w:rsidP="005A735A">
            <w:r>
              <w:t>Tuition will be calculated from the first day at Sage until the last day of school. Final monthly payment will be due May 10, 20</w:t>
            </w:r>
            <w:r w:rsidR="00CF5BBC">
              <w:t>20</w:t>
            </w:r>
            <w:r>
              <w:t>.</w:t>
            </w:r>
          </w:p>
        </w:tc>
      </w:tr>
    </w:tbl>
    <w:p w14:paraId="4E93E452" w14:textId="77777777" w:rsidR="005A735A" w:rsidRDefault="005A735A" w:rsidP="005A735A"/>
    <w:p w14:paraId="5BB09F43" w14:textId="660EAFE3" w:rsidR="00377B8A" w:rsidRPr="00B961CD" w:rsidRDefault="00377B8A" w:rsidP="00377B8A">
      <w:pPr>
        <w:rPr>
          <w:b/>
        </w:rPr>
      </w:pPr>
      <w:r w:rsidRPr="00B961CD">
        <w:rPr>
          <w:b/>
        </w:rPr>
        <w:t xml:space="preserve">SB 10 </w:t>
      </w:r>
      <w:r>
        <w:rPr>
          <w:b/>
        </w:rPr>
        <w:t>P</w:t>
      </w:r>
      <w:r w:rsidRPr="00B961CD">
        <w:rPr>
          <w:b/>
        </w:rPr>
        <w:t xml:space="preserve">ayment </w:t>
      </w:r>
      <w:r>
        <w:rPr>
          <w:b/>
        </w:rPr>
        <w:t>P</w:t>
      </w:r>
      <w:r w:rsidRPr="00B961CD">
        <w:rPr>
          <w:b/>
        </w:rPr>
        <w:t>olicy</w:t>
      </w:r>
    </w:p>
    <w:p w14:paraId="21DABEB5" w14:textId="46F5F506" w:rsidR="00377B8A" w:rsidRDefault="00377B8A" w:rsidP="00377B8A">
      <w:r>
        <w:t>For Single and Two payment tuition payments: The amount listed on the SB 10 201</w:t>
      </w:r>
      <w:r w:rsidR="00CF5BBC">
        <w:t>9</w:t>
      </w:r>
      <w:r>
        <w:t>/20</w:t>
      </w:r>
      <w:r w:rsidR="00CF5BBC">
        <w:t>20</w:t>
      </w:r>
      <w:r>
        <w:t xml:space="preserve"> award letter will be applied toward the total tuition balance before the parent payment is made.</w:t>
      </w:r>
    </w:p>
    <w:p w14:paraId="5FD2F8C6" w14:textId="77777777" w:rsidR="00377B8A" w:rsidRDefault="00377B8A" w:rsidP="00377B8A">
      <w:r>
        <w:t xml:space="preserve">For monthly FACT payments: The SB 10 checks will be applied to the FACTS account when they have been endorsed by the parent and deposited by Sage. </w:t>
      </w:r>
    </w:p>
    <w:p w14:paraId="3B9EA7A9" w14:textId="7BF667AF" w:rsidR="00377B8A" w:rsidRDefault="00377B8A" w:rsidP="00377B8A">
      <w:r>
        <w:t>If the actual 1</w:t>
      </w:r>
      <w:r w:rsidR="00CF5BBC">
        <w:t>9</w:t>
      </w:r>
      <w:r>
        <w:t>/</w:t>
      </w:r>
      <w:r w:rsidR="00CF5BBC">
        <w:t xml:space="preserve">20 </w:t>
      </w:r>
      <w:r>
        <w:t>SB 10 payments are less than 17/18 award letter amount, the balance will be due May 10, 20</w:t>
      </w:r>
      <w:r w:rsidR="00CF5BBC">
        <w:t>20</w:t>
      </w:r>
      <w:r>
        <w:t xml:space="preserve">. If the payments for </w:t>
      </w:r>
      <w:r w:rsidR="00CF5BBC">
        <w:t>19/20</w:t>
      </w:r>
      <w:r>
        <w:t xml:space="preserve"> are more than the 1</w:t>
      </w:r>
      <w:r w:rsidR="00CF5BBC">
        <w:t>8</w:t>
      </w:r>
      <w:r>
        <w:t>/1</w:t>
      </w:r>
      <w:r w:rsidR="00CF5BBC">
        <w:t>9</w:t>
      </w:r>
      <w:r>
        <w:t xml:space="preserve"> award letter, a refund will be issued May 30, 20</w:t>
      </w:r>
      <w:r w:rsidR="00CF5BBC">
        <w:t>20</w:t>
      </w:r>
      <w:r>
        <w:t>.</w:t>
      </w:r>
    </w:p>
    <w:p w14:paraId="7EC60F01" w14:textId="77777777" w:rsidR="008512A6" w:rsidRPr="009C1AEE" w:rsidRDefault="008512A6" w:rsidP="008512A6">
      <w:pPr>
        <w:rPr>
          <w:b/>
        </w:rPr>
      </w:pPr>
      <w:r w:rsidRPr="009C1AEE">
        <w:rPr>
          <w:b/>
        </w:rPr>
        <w:t>Pay it Forward</w:t>
      </w:r>
      <w:r>
        <w:rPr>
          <w:b/>
        </w:rPr>
        <w:t xml:space="preserve"> Policies</w:t>
      </w:r>
    </w:p>
    <w:p w14:paraId="0F3AA02A" w14:textId="025EED4D" w:rsidR="008512A6" w:rsidRDefault="008512A6" w:rsidP="008512A6">
      <w:r>
        <w:t xml:space="preserve">Any funds received from Pay It Forward or any other SSO will be applied </w:t>
      </w:r>
      <w:r w:rsidR="00855877">
        <w:t>to the</w:t>
      </w:r>
      <w:r>
        <w:t xml:space="preserve"> FACTS balance due. If the Pay </w:t>
      </w:r>
      <w:r w:rsidR="00855877">
        <w:t>I</w:t>
      </w:r>
      <w:r>
        <w:t>t Forward payment exceeds the FACTS balance, a refund will be issued. If the family has already paid in full</w:t>
      </w:r>
      <w:r w:rsidR="00855877">
        <w:t>,</w:t>
      </w:r>
      <w:r>
        <w:t xml:space="preserve"> a refund will be issued.</w:t>
      </w:r>
    </w:p>
    <w:p w14:paraId="571F160A" w14:textId="6CC668BB" w:rsidR="008512A6" w:rsidRDefault="008512A6" w:rsidP="008512A6">
      <w:r>
        <w:t xml:space="preserve">It is the parent/guardian responsibility to determine eligibility and apply for a Pay </w:t>
      </w:r>
      <w:r w:rsidR="00855877">
        <w:t>I</w:t>
      </w:r>
      <w:r>
        <w:t xml:space="preserve">t Forward </w:t>
      </w:r>
      <w:r w:rsidR="00855877">
        <w:t>S</w:t>
      </w:r>
      <w:r>
        <w:t>cholarship.</w:t>
      </w:r>
    </w:p>
    <w:p w14:paraId="45922C3E" w14:textId="5B0806D4" w:rsidR="005A735A" w:rsidRPr="00377B8A" w:rsidRDefault="00377B8A" w:rsidP="00CF2ACB">
      <w:pPr>
        <w:rPr>
          <w:b/>
        </w:rPr>
      </w:pPr>
      <w:r w:rsidRPr="00377B8A">
        <w:rPr>
          <w:b/>
        </w:rPr>
        <w:lastRenderedPageBreak/>
        <w:t>Scholarships and Financial Aid</w:t>
      </w:r>
    </w:p>
    <w:p w14:paraId="3A67B4BE" w14:textId="1D6F01FC" w:rsidR="00377B8A" w:rsidRDefault="00377B8A" w:rsidP="00CF2ACB">
      <w:r>
        <w:t>Sage does not offer scholarships or financial aid.</w:t>
      </w:r>
    </w:p>
    <w:p w14:paraId="46ABE063" w14:textId="0E2304DE" w:rsidR="00377B8A" w:rsidRDefault="00377B8A" w:rsidP="00CF2ACB">
      <w:pPr>
        <w:rPr>
          <w:b/>
        </w:rPr>
      </w:pPr>
      <w:r w:rsidRPr="00377B8A">
        <w:rPr>
          <w:b/>
        </w:rPr>
        <w:t>Returned Payments and/or Overdue Balances</w:t>
      </w:r>
    </w:p>
    <w:p w14:paraId="707E67ED" w14:textId="4E1CE568" w:rsidR="00377B8A" w:rsidRDefault="00377B8A" w:rsidP="00CF2ACB">
      <w:r>
        <w:t xml:space="preserve">Sage relies on each partner family to pay student tuition in a timely manner. For returned payments, FACTS </w:t>
      </w:r>
      <w:r w:rsidR="00855877">
        <w:t>charges</w:t>
      </w:r>
      <w:r>
        <w:t xml:space="preserve"> a $30 NSF fee in addition to charges you many receive from your bank. Sage charges a $25 fee per occurrence on late tuition payments and assesses a 2% per month late fee. Grades. Report cards will not be released until a family’s FACTS account is paid in full.</w:t>
      </w:r>
    </w:p>
    <w:p w14:paraId="531747B7" w14:textId="02C5C5B7" w:rsidR="00377B8A" w:rsidRDefault="00377B8A" w:rsidP="00CF2ACB">
      <w:r>
        <w:t xml:space="preserve">If neither the payment due nor satisfactory arrangements have been made </w:t>
      </w:r>
      <w:r w:rsidR="00855877">
        <w:t>within 60</w:t>
      </w:r>
      <w:r>
        <w:t xml:space="preserve"> school days after the due date, the student may be withdrawn from classes by the school. If this occurs, </w:t>
      </w:r>
      <w:r w:rsidR="00855877">
        <w:t>to</w:t>
      </w:r>
      <w:r>
        <w:t xml:space="preserve"> re-enroll the full registration processes must be followed. Chronically past due accounts may be turned over to a collection agency and all collection fees will be the responsibility of the student’s parents or legal guardians.</w:t>
      </w:r>
    </w:p>
    <w:p w14:paraId="5DC6945B" w14:textId="5F815813" w:rsidR="00377B8A" w:rsidRPr="002B1AB8" w:rsidRDefault="00377B8A" w:rsidP="00CF2ACB">
      <w:pPr>
        <w:rPr>
          <w:b/>
        </w:rPr>
      </w:pPr>
      <w:r>
        <w:br/>
      </w:r>
      <w:r w:rsidRPr="002B1AB8">
        <w:rPr>
          <w:b/>
        </w:rPr>
        <w:t>Early Withdrawal</w:t>
      </w:r>
    </w:p>
    <w:p w14:paraId="001CB682" w14:textId="7498BFEC" w:rsidR="008004C6" w:rsidRPr="00377B8A" w:rsidRDefault="008004C6" w:rsidP="00CF2ACB">
      <w:r>
        <w:t>Initial acceptance and re-enrollment contracts with Sage Scho</w:t>
      </w:r>
      <w:r w:rsidR="00085068">
        <w:t>o</w:t>
      </w:r>
      <w:r>
        <w:t>l represent</w:t>
      </w:r>
      <w:r w:rsidR="00085068">
        <w:t>s</w:t>
      </w:r>
      <w:r>
        <w:t xml:space="preserve"> a binding agreement between a family and the school for the contract period, which is one school year. Because teacher</w:t>
      </w:r>
      <w:r w:rsidR="00085068">
        <w:t xml:space="preserve"> </w:t>
      </w:r>
      <w:r w:rsidR="00F044A9">
        <w:t>contracts</w:t>
      </w:r>
      <w:r w:rsidR="00085068">
        <w:t xml:space="preserve">, school services, curriculum and supplies are funded and purchased at the beginning of each school year based on student enrollment, honoring the </w:t>
      </w:r>
      <w:r w:rsidR="00855877">
        <w:t>one-year</w:t>
      </w:r>
      <w:r w:rsidR="00085068">
        <w:t xml:space="preserve"> contract period is necessary to ensure the school delivers the services agreed upon after students are enrolled. Prorated tuition for early withdrawal is the exception, and any family who desired to withdraw</w:t>
      </w:r>
      <w:r w:rsidR="005920AF">
        <w:t xml:space="preserve"> their student prior to the end of the school year is expected to</w:t>
      </w:r>
      <w:r w:rsidR="00F044A9">
        <w:t xml:space="preserve"> </w:t>
      </w:r>
      <w:r w:rsidR="005920AF">
        <w:t>h</w:t>
      </w:r>
      <w:r w:rsidR="00F044A9">
        <w:t>o</w:t>
      </w:r>
      <w:r w:rsidR="005920AF">
        <w:t xml:space="preserve">nor the financial commitment for the </w:t>
      </w:r>
      <w:r w:rsidR="00855877">
        <w:t>one-year</w:t>
      </w:r>
      <w:r w:rsidR="005920AF">
        <w:t xml:space="preserve"> contact period. Exceptions are </w:t>
      </w:r>
      <w:r w:rsidR="00F044A9">
        <w:t>handled</w:t>
      </w:r>
      <w:r w:rsidR="005920AF">
        <w:t xml:space="preserve"> on a </w:t>
      </w:r>
      <w:r w:rsidR="00F044A9">
        <w:t>c</w:t>
      </w:r>
      <w:r w:rsidR="005920AF">
        <w:t xml:space="preserve">ase by case </w:t>
      </w:r>
      <w:r w:rsidR="00F044A9">
        <w:t>basis</w:t>
      </w:r>
      <w:r w:rsidR="005920AF">
        <w:t xml:space="preserve"> and any requests for prorated tuition must be made in writing to the Head of School. In cases where prorated tuition is </w:t>
      </w:r>
      <w:r w:rsidR="00F044A9">
        <w:t>awarded</w:t>
      </w:r>
      <w:r w:rsidR="005920AF">
        <w:t xml:space="preserve">, families will be </w:t>
      </w:r>
      <w:r w:rsidR="00F044A9">
        <w:t>charged</w:t>
      </w:r>
      <w:r w:rsidR="005920AF">
        <w:t xml:space="preserve"> a withdrawal fee of $300.</w:t>
      </w:r>
      <w:bookmarkEnd w:id="0"/>
    </w:p>
    <w:sectPr w:rsidR="008004C6" w:rsidRPr="0037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128ED"/>
    <w:multiLevelType w:val="hybridMultilevel"/>
    <w:tmpl w:val="6B28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669BA"/>
    <w:multiLevelType w:val="hybridMultilevel"/>
    <w:tmpl w:val="8542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44"/>
    <w:rsid w:val="0007189E"/>
    <w:rsid w:val="00085068"/>
    <w:rsid w:val="002B1AB8"/>
    <w:rsid w:val="00377B8A"/>
    <w:rsid w:val="004127E6"/>
    <w:rsid w:val="00477B8F"/>
    <w:rsid w:val="005057DA"/>
    <w:rsid w:val="0057579D"/>
    <w:rsid w:val="00590A44"/>
    <w:rsid w:val="005920AF"/>
    <w:rsid w:val="005A735A"/>
    <w:rsid w:val="008004C6"/>
    <w:rsid w:val="008512A6"/>
    <w:rsid w:val="00855877"/>
    <w:rsid w:val="009C547A"/>
    <w:rsid w:val="00CF2ACB"/>
    <w:rsid w:val="00CF5BBC"/>
    <w:rsid w:val="00D448CB"/>
    <w:rsid w:val="00DB3B3F"/>
    <w:rsid w:val="00F044A9"/>
    <w:rsid w:val="00F97B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21F9"/>
  <w15:chartTrackingRefBased/>
  <w15:docId w15:val="{0F6AF07F-EE28-4178-9959-37D9017B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A"/>
    <w:pPr>
      <w:ind w:left="720"/>
      <w:contextualSpacing/>
    </w:pPr>
  </w:style>
  <w:style w:type="table" w:styleId="TableGrid">
    <w:name w:val="Table Grid"/>
    <w:basedOn w:val="TableNormal"/>
    <w:uiPriority w:val="39"/>
    <w:rsid w:val="005A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Compton</dc:creator>
  <cp:keywords/>
  <dc:description/>
  <cp:lastModifiedBy>Microsoft Office User</cp:lastModifiedBy>
  <cp:revision>2</cp:revision>
  <cp:lastPrinted>2018-05-14T15:48:00Z</cp:lastPrinted>
  <dcterms:created xsi:type="dcterms:W3CDTF">2019-05-31T14:25:00Z</dcterms:created>
  <dcterms:modified xsi:type="dcterms:W3CDTF">2019-05-31T14:25:00Z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-569830498</vt:i4>
  </property>
</Properties>
</file>